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2024 17 vom 11. Juni 2024</w:t>
      </w:r>
    </w:p>
    <w:p>
      <w:r>
        <w:t>BL Gerichte, 2024-06-11, DE</w:t>
      </w:r>
    </w:p>
    <w:p>
      <w:r>
        <w:rPr>
          <w:b/>
        </w:rPr>
        <w:t xml:space="preserve">Quelle: </w:t>
      </w:r>
      <w:r>
        <w:t>https://mcp.opencaselaw.ch/entscheid/bl_gerichte_470 2024 17</w:t>
      </w:r>
    </w:p>
    <w:p>
      <w:r>
        <w:t>FR: BL_GERICHTE 470 2024 17 du 11 juin 2024</w:t>
      </w:r>
    </w:p>
    <w:p>
      <w:r>
        <w:t>IT: BL_GERICHTE 470 2024 17 del 11 giugno 2024</w:t>
      </w:r>
    </w:p>
    <w:p>
      <w:pPr>
        <w:pStyle w:val="Heading2"/>
      </w:pPr>
      <w:r>
        <w:t>Regeste</w:t>
      </w:r>
    </w:p>
    <w:p>
      <w:r>
        <w:t>Beschlagnahme</w:t>
      </w:r>
    </w:p>
    <w:p>
      <w:pPr>
        <w:pStyle w:val="Heading2"/>
      </w:pPr>
      <w:r>
        <w:t>Erwägungen</w:t>
      </w:r>
    </w:p>
    <w:p>
      <w:r>
        <w:rPr>
          <w:b/>
        </w:rPr>
        <w:t>E. 3</w:t>
      </w:r>
    </w:p>
    <w:p>
      <w:r>
        <w:t>Nachfolgend ist zu prüfen, ob der im Beschlagnahmebefehl im Fall einer allfälligen Verwertung der beschlagnahmten Liegenschaft Nr. 1. im Grundbuch D. in der seitens der F. bank betreffend diese Liegenschaft eingeleiteten Betreibung auf Pfandverwertung verfügte Verzicht auf die Überbindung des Grundpfandrechtes in der zweiten Pfandstelle resp. gemäss Registerschuldbrief Nr. 5. in Höhe von Fr. 850'000.− auf allfällige Erwerber resp. Ersteigerer zulässig ist. 3.1.1 Die Staatsanwaltschaft führt zur Begründung der in Frage stehenden Anordnung im Wesentlichen sinngemäss aus, es bestünden Hinweise, dass der auf der Liegenschaft Nr. 1. im Grundbuch D. lastende Registerschuldbrief Nr. 5. gezielt zum Zweck errichtet worden sei, diese Liegenschaft zu entwerten und damit letztlich das Vermögen von A. massgeblich zu verringern. Die Überbindung des genannten Registerschuldbriefes in der rein nominalen und nicht weiter substanziierten Höhe von Fr. 850'000.− auf allfällige Erwerber resp. Ersteigerer dürfte dazu führen, dass die Verwertung als erfolglos abgebrochen werden müsste. Aus diesem Grund sei bei der Verwertung der besagten Liegenschaft auf die Überbindung des erwähnten Registerschuldbriefes zu verzichten. 3.1.2 Der Beschwerdeführer wendet dagegen zusammengefasst ein, die Ansicht der Staatsanwaltschaft, dass es beim Registerschuldbrief Nr. 5. an einer werthaltigen Grundforderung fehle, sei unzutreffend. Er habe am 8. März 2023 in der Betreibung Nr. 6. zugunsten von A. und B. aufgrund der Solidarhaftung der Letzteren gegenüber M. Zahlungen in Höhe von Fr. 154'594.70 geleistet. Überdies habe er Auslagen für die einfache Gesellschaft (bestehend aus A. , B. und C. ), die einfache Gesellschaft (bestehend aus A. und B. ) sowie A. , B. und C. in Höhe von rund Fr. 141'069.25 getätigt. Er habe ausserdem Rechnungen für seine Aufwendungen aus einem Auftragsverhältnis über Fr. 218'562.50 gestellt. Demnach sei der Registerschuldbrief Nr. 5. gegenwärtig insgesamt mit einer Summe von Fr. 514'226.49 belastet. Somit sei nicht nachgewiesen, dass der besagte Registerschuldbrief bewusst errichtet worden sei, um die Liegenschaft zu entwerten und damit letztlich sein Vermögen massgeblich zu verringern. Es rechtfertige sich daher nicht, auf die Überbindung des in Rede stehenden Registerschuldbriefes auf allfällige Erwerber resp. Ersteigerer zu verzichten. 3.2.1 Die Staatsanwaltschaft ordnete in der Dispositivziffer 3 des angefochtenen Beschlagnahmebefehles an, dass bei der Verwertung der beschlagnahmten Liegenschaft Nr. 1. im Grundbuch D. in der seitens der F. bank betreffend diese Liegenschaft eingeleiteten Betreibung auf Pfandverwertung auf die Überbindung des Grundpfandrechtes in der zweiten Pfandstelle resp. gemäss Registerschuldbrief Nr. 5. in Höhe von Fr. 850'000.− auf allfällige Erwerber resp. Ersteigerer verzichtet wird. Bei einer solcherart erfolgenden Verwertung der genannten Liegenschaft würde im Grundbuch das auf der besagten Liegenschaft lastende Grundpfandrecht in der zweiten Pfandstelle resp. gemäss Registerschuldbrief Nr. 5. in Höhe von Fr. 850'000.− zugunsten des Beschwerdeführers endgültig gelöscht und der Letztere dadurch eines vermögenswerten Rechtes verlustig gehen. Zudem würde die von A. , B. und C. als Gesamteigentümer vorgenommene Verpfändung ihrer Liegenschaft Nr. 1. im Grundbuch D. definitiv aufgehoben. Durch die in Rede stehende Anordnung wird folglich das Recht der Liegenschaftseigentümer, die erwähnte Immobilie zu verpfänden, erheblich beschnitten. Die fragliche Anordnung der Staatsanwaltschaft bedeutet somit einen weitreichenden staatlichen Eingriff in die Eigentumsgarantie (Art. 26 Abs. 1 BV) und Wirtschaftsfreiheit (Art. 27 Abs. 1 BV). Eine solche schwerwiegende Grundrechtseinschränkung muss zwingend im Gesetz selbst (d.h. im formellen Gesetz) vorgesehen sein (vgl. Art. 197 Abs. 1 lit. a StPO, Art. 36 Abs. 1 BV; BGE 145 I 156 E. 4.1; 143 I 253 E. 4.8-5). Aufgrund des sich aus dem Legalitätsprinzipes ergebenden numerus clausus der Zwangsmassnahmen dürfen Strafverfolgungsbehörden nur die im Gesetz aufgeführten Massnahmen in der gesetzlich vorgegebenen Ausgestaltung ergreifen (vgl. Gless , Heimliche Ermittlungsmassnahmen im Schweizer Strafprozess, in: Zeitschrift für die gesamte Strafrechtswissenschaft [ZSTW] 2012; S. 442; Vetterli , Gesetzesbindung im Strafprozess, Zur Geltung von Verwertungsverboten und ihrer Fernwirkung nach illegalen Zwangsmassnahmen, 2010, S. 167 ff.). Die Staatsanwaltschaft legt nirgends dar, auf welcher gesetzlichen Grundlage sie die fragliche Anordnung getroffen hat. Eine entsprechende gesetzliche Grundlage findet sich denn auch weder in der Strafprozessordnung noch einem anderen Gesetz. Bei einer Grundstückbeschlagnahme sieht Art. 266 Abs. 3 StPO lediglich die Anordnung einer Grundbuchsperre und deren Anmerkung im Grundbuch vor. Damit wird dem Zweck der Grundstückbeschlagnahme vollumfänglich entsprochen, nämlich Verfügungen über das betroffene Grundstück bis auf weiteres zu verhindern und den Status Quo zu sichern ( Bommer / Goldschmid , Basler Kommentar StPO, a.a.O., Art. 266 N 8). Dem Gesagten zufolge fehlt es an einer gesetzlichen Grundlage bzw. formellgesetzlichen Regelung für den von der Staatsanwaltschaft im angefochtenen Beschlagnahmebefehl für den Fall einer Verwertung der Liegenschaft Nr. 1. im Grundbuch D. in der seitens der F. bank eingeleiteten Betreibung auf Pfandverwertung angeordneten Verzicht auf die Überbindung des Grundpfandrechtes in der zweiten Pfandstelle resp. gemäss Registerschuldbrief Nr. 5. in Höhe von Fr. 850'000.− auf allfällige Erwerber resp. Ersteigerer. Diese staatsanwaltschaftliche Anordnung erweist sich bereits allein deswegen als unzulässig. 3.2.2 Weiter ist vor Augen zu führen, wie in einem betreibungsrechtlichen Pfandverwertungsverfahren der Bestand und Umfang des auf einer Liegenschaft lastenden Pfandrechtes geklärt werden kann. Im zwangsvollstreckungsrechtlichen Grundstückverwertungsverfahren ermittelt das Betreibungsamt vor der Versteigerung die auf dem Grundbuch ruhenden Lasten anhand der Eingaben der Berechtigten und eines Auszuges aus dem Grundbuch (Art. 140 Abs. 1 SchKG). Es stellt den Beteiligten ein Verzeichnis der Lasten zu und setzt ihnen gleichzeitig eine Bestreitungsfrist von zehn Tagen (Art. 140 Abs. 2 SchKG, Art. 37 Abs. 1 und 2 VZG). Auf Verlangen des Schuldners oder des Gläubigers wird der Dritte aufgefordert, innerhalb der Bestreitungsfrist seine Beweismittel beim Betreibungsamt zur Einsicht vorzulegen (Art. 107 Abs. 3 SchKG). Wird ein Anspruch bestritten, so erfolgt die Bereinigung nach den Grundsätzen des Widerspruchsverfahrens gemäss Art. 107 ff. SchKG (BGer 5A_696/2020 vom 2. November 2020 E. 3.1). Demnach besteht für die Lastenbereinigung ein eigens vom Gesetzgeber hierfür vorgesehenes Verfahren. Sollte es in der in Rede stehenden Betreibung auf Pfandverwertung zu einer Verwertung der Liegenschaft Nr. 1. im Grundbuch D. kommen, könnten entsprechende Einwendungen gegen den Bestand des Grundpfandrechtes in der zweiten Pfandstelle resp. gemäss Registerschuldbrief Nr. 5. in Höhe von Fr. 850'000.− und die betreffenden Grundforderungen im Rahmen des Lastenbereinigungsverfahrens vorgebracht werden (vgl. Feuz , Basler Kommentar SchKG, 3. Aufl. 2021, Art. 140 N 22). Demnach besteht kein Grund, bereits im Beschlagnahmebefehl für den Fall einer allfälligen Verwertung der besagten Liegenschaft in der seitens der F. bank eingeleiteten Betreibung auf Pfandverwertung den Verzicht auf die Überbindung des in Rede stehenden Grundpfandrechtes auf allfällige Erwerber bzw. Ersteigerer anzuordnen. 3.2.3 Zusammenfassend kann festgestellt werden, dass die Staatsanwaltschaft im Beschlagnahmebefehl für den Fall der Verwertung der Liegenschaft Nr. 1. im Grundbuch D. infolge der von der F. bank betreffend die genannte Liegenschaft eingeleiteten Betreibung auf Pfandverwertung ohne erforderliche gesetzliche Grundlage und damit zu Unrecht den Verzicht auf die Überbindung des Grundpfandrechtes in der zweiten Pfandstelle resp. gemäss Registerschuldbrief Nr. 5. in Höhe von Fr. 850'000.− auf allfällige Erwerber resp. Ersteigerer angeordnet hat.</w:t>
      </w:r>
    </w:p>
    <w:p>
      <w:r>
        <w:rPr>
          <w:b/>
        </w:rPr>
        <w:t>E. 4</w:t>
      </w:r>
    </w:p>
    <w:p>
      <w:r>
        <w:t>Ferner bleibt zu beurteilen, ob im angefochtenen Beschlagnahmebefehl für den Fall einer Verwertung der Liegenschaft Nr. 1. im Grundbuch D. in der von der F. bank betreffend diese Liegenschaft eingeleiteten Betreibung auf Pfandverwertung (Art. 151 ff. SchKG) der daraus resultierende (Rest-)Erlös der Liegenschaft bis zur maximalen Höhe von Fr. 441'750.− ersatzweise beschlagnahmt werden darf.</w:t>
      </w:r>
    </w:p>
    <w:p>
      <w:r>
        <w:rPr>
          <w:b/>
        </w:rPr>
        <w:t>E. 4.1</w:t>
      </w:r>
    </w:p>
    <w:p>
      <w:r>
        <w:t>Gemäss Art. 44 SchKG geschieht die Verwertung von Gegenständen, welche aufgrund strafrechtlicher oder fiskalischer Gesetze mit Beschlag belegt sind, nach den zutreffenden eidgenössischen oder kantonalen Gesetzesbestimmungen. Dies gilt insbesondere für die strafprozessuale Beschlagnahme nach Art. 263 StPO, wenn diese zur Sicherstellung von Verfahrenskosten, Geldstrafen, Bussen und Entschädigungen (lit. b), der Rückgabe an den Geschädigten (lit. c) oder der Einziehung (lit. d) angeordnet worden ist (BGE 139 III 44 E. 3.2.1; 115 III 1 E. c.; Acocella , Basler Kommentar SchKG, a.a.O., Art. 44 N 3 ff.; Declercq , Introduction à la procédure de poursuite pour dettes, 2023, S. 248). Zu diesem Zweck beschlagnahmte Gegenstände können in einem SchKG-Verfahren nicht verwertet werden, sofern die strafrechtliche Beschlagnahme nicht aufgehoben wird (CJ GE A/639/2023 vom 6. Oktober 2023 E. 3.1.3). Gegenstände, die zur Durchsetzung einer Ersatzforderung im Sinne von Art. 263 Abs. 1 lit. e StPO zugunsten des Staates mit Beschlag belegt worden sind, können hingegen in einer von Dritten eingeleiteten Betreibung gepfändet werden. Im Betreibungsverfahren hat die Ersatzforderungsbeschlagnahme die Wirkung eines „strafprozessualen Arrestes“ und der Staat nimmt daher in analoger Anwendung von Art. 281 SchKG von Rechtes wegen provisorisch an der Pfändung teil. Im Betreibungsverfahren wird die Ersatzforderungsbeschlagnahme durch eine Verfügungsbeschränkung gemäss Art. 101 Abs. 1 SchKG abgelöst (vgl. BGer 6B_1362/2020 vom 20. Juni 2022 E. 23.5.4). Ausserdem können die beschlagnahmten Gegenstände im Rahmen des Zwangsvollstreckungsverfahrens verwertet werden (BGE 142 III 174 E. 3; 141 IV 260 E. 3.2; BGer 6B_1362/2020 vom 20. Juni 2022 E. 23.5.4; Scholl , in: Ackermann [Hrsg.], Kommentar Kriminelles Vermögen - Kriminelle Organisationen, Bd. I, 2018, Art. 71 N 176). Vom Verwertungserlös darf im Rahmen von Abschlagszahlungen (Art. 144 Abs. 2 SchKG) nur so viel verteilt werden, wie unter Berücksichtigung einer Ersatzforderung im maximal möglichen Betrag angezeigt wäre. Der auf die Ersatzforderung entfallende Anteil ist vom Betreibungsamt oder der Konkursverwaltung bei der Depositenanstalt zu hinterlegen (Art. 144 Abs. 5 SchKG und Art. 264 Abs. 3 SchKG). Über dessen Verteilung ist im Zwangsvollstreckungsverfahren erst nach Vorliegen eines rechtskräftigen Strafentscheides bezüglich der Ersatzforderung definitiv zu entscheiden ( Scholl , a.a.O., Art. 71 N 177).</w:t>
      </w:r>
    </w:p>
    <w:p>
      <w:r>
        <w:rPr>
          <w:b/>
        </w:rPr>
        <w:t>E. 4.2</w:t>
      </w:r>
    </w:p>
    <w:p>
      <w:r>
        <w:t>Im Lichte der vorstehenden Erwägungen ergibt sich, dass eine Verwertung der Liegenschaft Nr. 1. im Grundbuch D. im Rahmen der von der F. bank betreffend diese Liegenschaft eingeleiteten Betreibung auf Pfandverwertung ausgeschlossen ist, da diese insbesondere gestützt auf Art. 263 Abs. 1 lit. b StPO beschlagnahmt wurde. Demnach kann es hier also gar nicht dazu kommen, dass ein Erlös aus der Verwertung der genannten Liegenschaft anfällt. Die von der Staatsanwaltschaft im angefochtenen Beschlagnahmebefehl angeordnete ersatzweise Beschlagnahme des (Rest-)Erlöses aus einer zwangsvollstreckungsrechtlichen Verwertung der besagten Liegenschaft geht somit offenkundig ins Leere und ist daher aufzuheben. Lediglich der Vollständigkeit halber sei angemerkt, dass sich daran nichts ändern würde, wenn die genannte Liegenschaft bloss zur Sicherung einer Ersatzforderung beschlagnahmt worden wäre. Die Ersatzforderung wäre im Verfahren nach SchKG durchzusetzen (BGE 142 III 65 E. 4.1). In diesem Verfahren würde die Ersatzforderungsbeschlagnahme durch die Verfügungsbeschränkung gemäss Art. 101 Abs. 1 SchKG abgelöst. Bei deren Verwertung würde sodann der auf die Ersatzforderung entfallende Anteil des Verwertungserlöses vom Betreibungsamt oder der Konkursverwaltung bei der Depositenanstalt hinterlegt und damit dem Zugriff durch den Beschuldigten als Schuldner entzogen. In Anbetracht, dass die Ersatzforderung auf dem Weg des SchKG zu vollstrecken wäre und das SchKG eine abschliessende Regelung zur Sicherstellung der herangezogenen Gegenstände und Vermögenswerte bzw. deren Verwertungserlös enthält, besteht bei einer Ersatzforderungsbeschlagnahme kein Raum für eine strafprozessuale Beschlagnahme des aus einer allfälligen Grundpfandverwertung resultierenden (Rest-)Erlöses der Liegenschaft Nr. 1. im Grundbuch D. bis zur maximalen Höhe von Fr. 441'750.−.</w:t>
      </w:r>
    </w:p>
    <w:p>
      <w:r>
        <w:rPr>
          <w:b/>
        </w:rPr>
        <w:t>E. 5</w:t>
      </w:r>
    </w:p>
    <w:p>
      <w:r>
        <w:t>Dem Gesagten zufolge ist die Beschwerde teilweise gutzuheissen, soweit darauf einzutreten ist. Der angefochtene Beschlagnahmebefehl ist in der Dispositivziffer 3 und den damit in Zusammenhang stehenden Dispositivziffern 4, 5 und 6 aufzuheben. Sodann ist die Dispositivziffer 2 insoweit aufzuheben, als sie sich auf die Einschränkung der Grundbuchsperre gemäss Dispositivziffer 3 bezieht. Im Übrigen ist die Beschwerde abzuweisen.</w:t>
      </w:r>
    </w:p>
    <w:p>
      <w:r>
        <w:rPr>
          <w:b/>
        </w:rPr>
        <w:t>E. 6</w:t>
      </w:r>
    </w:p>
    <w:p>
      <w:r>
        <w:t>Abschliessend bleibt über die Kosten- und Entschädigungsfolgen zu befinden. Die Kosten des Rechtsmittelverfahrens tragen die Parteien nach Massgabe ihres Obsiegens oder Unterliegens. Als unterliegend gilt auch die Partei, auf deren Rechtsmittel nicht eingetreten wird oder die das Rechtsmittel zurückzieht (Art. 428 Abs. 1 StPO). Mit Blick auf den Verfahrensausgang erscheint es als angezeigt, die Kosten des Beschwerdeverfahrens von total Fr. 1'050.− (bestehend aus der Gerichtsgebühr von Fr. 1'000.− und den Auslagen von pauschal Fr. 50.−) zu einem Fünftel dem Beschwerdeführer aufzuerlegen und zu vier Fünfteln auf die Staatskasse zu nehmen. Dem Beschwerdeführer ist keine Parteientschädigung zuzusprechen, da er nicht anwaltlich vertreten ist und ansonsten keinen entschädigungsberechtigen Aufwand nachgewiesen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